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4B0D4E9D"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A6870">
        <w:rPr>
          <w:bCs/>
          <w:noProof w:val="0"/>
          <w:sz w:val="24"/>
          <w:szCs w:val="24"/>
        </w:rPr>
        <w:t>-e</w:t>
      </w:r>
      <w:r w:rsidRPr="00590F3F">
        <w:rPr>
          <w:bCs/>
          <w:noProof w:val="0"/>
          <w:sz w:val="24"/>
          <w:szCs w:val="24"/>
        </w:rPr>
        <w:tab/>
        <w:t>R1-2</w:t>
      </w:r>
      <w:r w:rsidR="000F796A">
        <w:rPr>
          <w:bCs/>
          <w:noProof w:val="0"/>
          <w:sz w:val="24"/>
          <w:szCs w:val="24"/>
        </w:rPr>
        <w:t>1xxxxx</w:t>
      </w:r>
    </w:p>
    <w:p w14:paraId="77EFFF42" w14:textId="326BFCAF" w:rsidR="00E17D65" w:rsidRPr="00590F3F" w:rsidRDefault="00E17D65" w:rsidP="00E17D65">
      <w:pPr>
        <w:pStyle w:val="Header"/>
        <w:rPr>
          <w:bCs/>
          <w:noProof w:val="0"/>
          <w:sz w:val="24"/>
          <w:szCs w:val="24"/>
        </w:rPr>
      </w:pPr>
      <w:r w:rsidRPr="00590F3F">
        <w:rPr>
          <w:bCs/>
          <w:noProof w:val="0"/>
          <w:sz w:val="24"/>
          <w:szCs w:val="24"/>
        </w:rPr>
        <w:t xml:space="preserve">e-Meeting, </w:t>
      </w:r>
      <w:r w:rsidR="000F796A">
        <w:rPr>
          <w:bCs/>
          <w:noProof w:val="0"/>
          <w:sz w:val="24"/>
          <w:szCs w:val="24"/>
        </w:rPr>
        <w:t>January</w:t>
      </w:r>
      <w:r w:rsidR="00BA6870">
        <w:rPr>
          <w:bCs/>
          <w:noProof w:val="0"/>
          <w:sz w:val="24"/>
          <w:szCs w:val="24"/>
        </w:rPr>
        <w:t xml:space="preserve"> </w:t>
      </w:r>
      <w:r w:rsidR="000F796A">
        <w:rPr>
          <w:bCs/>
          <w:noProof w:val="0"/>
          <w:sz w:val="24"/>
          <w:szCs w:val="24"/>
        </w:rPr>
        <w:t>25</w:t>
      </w:r>
      <w:r w:rsidRPr="00590F3F">
        <w:rPr>
          <w:bCs/>
          <w:noProof w:val="0"/>
          <w:sz w:val="24"/>
          <w:szCs w:val="24"/>
          <w:vertAlign w:val="superscript"/>
        </w:rPr>
        <w:t>th</w:t>
      </w:r>
      <w:r w:rsidRPr="00590F3F">
        <w:rPr>
          <w:bCs/>
          <w:noProof w:val="0"/>
          <w:sz w:val="24"/>
          <w:szCs w:val="24"/>
        </w:rPr>
        <w:t xml:space="preserve"> – </w:t>
      </w:r>
      <w:r w:rsidR="000F796A">
        <w:rPr>
          <w:bCs/>
          <w:noProof w:val="0"/>
          <w:sz w:val="24"/>
          <w:szCs w:val="24"/>
        </w:rPr>
        <w:t>February 5</w:t>
      </w:r>
      <w:r w:rsidR="000F796A" w:rsidRPr="000F796A">
        <w:rPr>
          <w:bCs/>
          <w:noProof w:val="0"/>
          <w:sz w:val="24"/>
          <w:szCs w:val="24"/>
          <w:vertAlign w:val="superscript"/>
        </w:rPr>
        <w:t>th</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4E0E36DB"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E512B7">
        <w:rPr>
          <w:rFonts w:ascii="Arial" w:hAnsi="Arial" w:cs="Arial"/>
          <w:b/>
          <w:bCs/>
          <w:sz w:val="24"/>
          <w:szCs w:val="24"/>
        </w:rPr>
        <w:t>1</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27C59479"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FB3475">
        <w:rPr>
          <w:rFonts w:ascii="Arial" w:hAnsi="Arial" w:cs="Arial"/>
          <w:b/>
          <w:bCs/>
          <w:sz w:val="24"/>
        </w:rPr>
        <w:t>Moderator</w:t>
      </w:r>
      <w:r w:rsidR="00BA6870">
        <w:rPr>
          <w:rFonts w:ascii="Arial" w:hAnsi="Arial" w:cs="Arial"/>
          <w:b/>
          <w:bCs/>
          <w:sz w:val="24"/>
        </w:rPr>
        <w:t xml:space="preserve"> summary o</w:t>
      </w:r>
      <w:r w:rsidR="00FB3475">
        <w:rPr>
          <w:rFonts w:ascii="Arial" w:hAnsi="Arial" w:cs="Arial"/>
          <w:b/>
          <w:bCs/>
          <w:sz w:val="24"/>
        </w:rPr>
        <w:t>f</w:t>
      </w:r>
      <w:r w:rsidR="00BA6870">
        <w:rPr>
          <w:rFonts w:ascii="Arial" w:hAnsi="Arial" w:cs="Arial"/>
          <w:b/>
          <w:bCs/>
          <w:sz w:val="24"/>
        </w:rPr>
        <w:t xml:space="preserve"> </w:t>
      </w:r>
      <w:bookmarkEnd w:id="0"/>
      <w:r w:rsidR="00E512B7" w:rsidRPr="00E512B7">
        <w:rPr>
          <w:rFonts w:ascii="Arial" w:hAnsi="Arial" w:cs="Arial"/>
          <w:b/>
          <w:bCs/>
          <w:sz w:val="24"/>
        </w:rPr>
        <w:t>[104-e-NR-7.1CRs-17]</w:t>
      </w:r>
      <w:r w:rsidR="00E512B7">
        <w:rPr>
          <w:rFonts w:ascii="Arial" w:hAnsi="Arial" w:cs="Arial"/>
          <w:b/>
          <w:bCs/>
          <w:sz w:val="24"/>
        </w:rPr>
        <w:br/>
      </w:r>
      <w:r w:rsidR="00E512B7" w:rsidRPr="00E512B7">
        <w:rPr>
          <w:rFonts w:ascii="Arial" w:hAnsi="Arial" w:cs="Arial"/>
          <w:b/>
          <w:bCs/>
          <w:sz w:val="24"/>
        </w:rPr>
        <w:t xml:space="preserve">38.213 CR on DCI ordering in a search space </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3C3AE20" w14:textId="6374C824" w:rsidR="00EB43D8" w:rsidRDefault="00EB43D8">
      <w:bookmarkStart w:id="1" w:name="_Ref178064866"/>
    </w:p>
    <w:p w14:paraId="6A964EE1" w14:textId="6D6B7DFD" w:rsidR="004000E8" w:rsidRPr="00425E6E" w:rsidRDefault="002B72FA" w:rsidP="00CE0424">
      <w:pPr>
        <w:pStyle w:val="Heading1"/>
      </w:pPr>
      <w:bookmarkStart w:id="2" w:name="_Toc62031198"/>
      <w:r w:rsidRPr="00425E6E">
        <w:t>1</w:t>
      </w:r>
      <w:r w:rsidR="00230D18" w:rsidRPr="00425E6E">
        <w:tab/>
      </w:r>
      <w:bookmarkEnd w:id="1"/>
      <w:r w:rsidR="0071605A" w:rsidRPr="00425E6E">
        <w:t>Introd</w:t>
      </w:r>
      <w:r w:rsidR="00EB43D8">
        <w:t>u</w:t>
      </w:r>
      <w:r w:rsidR="0071605A" w:rsidRPr="00425E6E">
        <w:t>ction</w:t>
      </w:r>
      <w:bookmarkEnd w:id="2"/>
    </w:p>
    <w:p w14:paraId="2C1A919A" w14:textId="4798CFCF" w:rsidR="00B168FE" w:rsidRDefault="00E512B7" w:rsidP="00BD6CA6">
      <w:pPr>
        <w:pStyle w:val="Doc-text2"/>
        <w:tabs>
          <w:tab w:val="clear" w:pos="1622"/>
          <w:tab w:val="left" w:pos="1276"/>
        </w:tabs>
        <w:ind w:left="0" w:firstLine="0"/>
        <w:rPr>
          <w:lang w:val="en-GB"/>
        </w:rPr>
      </w:pPr>
      <w:r>
        <w:rPr>
          <w:lang w:val="en-GB"/>
        </w:rPr>
        <w:t xml:space="preserve">Draft CR </w:t>
      </w:r>
      <w:hyperlink r:id="rId11" w:history="1">
        <w:r w:rsidRPr="00E512B7">
          <w:rPr>
            <w:rStyle w:val="Hyperlink"/>
            <w:lang w:val="en-GB"/>
          </w:rPr>
          <w:t>R1-2101134</w:t>
        </w:r>
      </w:hyperlink>
      <w:r>
        <w:rPr>
          <w:lang w:val="en-GB"/>
        </w:rPr>
        <w:t xml:space="preserve"> </w:t>
      </w:r>
      <w:r w:rsidRPr="00E512B7">
        <w:rPr>
          <w:lang w:val="en-GB"/>
        </w:rPr>
        <w:t>38.213 CR on DCI ordering in a search space set</w:t>
      </w:r>
      <w:r>
        <w:rPr>
          <w:lang w:val="en-GB"/>
        </w:rPr>
        <w:t xml:space="preserve">, </w:t>
      </w:r>
      <w:r w:rsidRPr="00E512B7">
        <w:rPr>
          <w:lang w:val="en-GB"/>
        </w:rPr>
        <w:t>Nokia, Nokia Shanghai Bell</w:t>
      </w:r>
      <w:r>
        <w:rPr>
          <w:lang w:val="en-GB"/>
        </w:rPr>
        <w:t xml:space="preserve"> noted that there are two possible interpretations in two parts of 38.213 related to how the DCI ordering is counted.</w:t>
      </w:r>
    </w:p>
    <w:p w14:paraId="4C6921EC" w14:textId="3AC622D6" w:rsidR="00E512B7" w:rsidRDefault="00E512B7" w:rsidP="00BD6CA6">
      <w:pPr>
        <w:pStyle w:val="Doc-text2"/>
        <w:tabs>
          <w:tab w:val="clear" w:pos="1622"/>
          <w:tab w:val="left" w:pos="1276"/>
        </w:tabs>
        <w:ind w:left="0" w:firstLine="0"/>
        <w:rPr>
          <w:lang w:val="en-GB"/>
        </w:rPr>
      </w:pPr>
    </w:p>
    <w:p w14:paraId="123E03A7" w14:textId="77777777" w:rsidR="00E512B7" w:rsidRDefault="00E512B7" w:rsidP="00E512B7">
      <w:pPr>
        <w:pStyle w:val="CRCoverPage"/>
        <w:numPr>
          <w:ilvl w:val="0"/>
          <w:numId w:val="26"/>
        </w:numPr>
        <w:spacing w:after="0"/>
        <w:rPr>
          <w:noProof/>
          <w:lang w:eastAsia="en-US"/>
        </w:rPr>
      </w:pPr>
      <w:r>
        <w:rPr>
          <w:noProof/>
        </w:rPr>
        <w:t>When the UE is e.g. configured with 1-symbol CORESET with the fist 3 symbols in a slot as a search space set, and the UE scheduled with a PUSCH in a DCI on an earlier symbol and a PDSCH in a later symbol in the same search space set, the current specification could be interpreted as if the UE may drop the DCI scheduling the PDSCH according to the yellow highlighted text of clause 9.</w:t>
      </w:r>
    </w:p>
    <w:p w14:paraId="701EC71A" w14:textId="77777777" w:rsidR="00E512B7" w:rsidRDefault="00E512B7" w:rsidP="00E512B7">
      <w:pPr>
        <w:pStyle w:val="CRCoverPage"/>
        <w:spacing w:after="0"/>
        <w:ind w:left="100"/>
        <w:rPr>
          <w:noProof/>
        </w:rPr>
      </w:pPr>
      <w:bookmarkStart w:id="3" w:name="_GoBack"/>
      <w:bookmarkEnd w:id="3"/>
    </w:p>
    <w:p w14:paraId="5E334295" w14:textId="15310B02" w:rsidR="00E512B7" w:rsidRPr="00E512B7" w:rsidRDefault="00E512B7" w:rsidP="00E512B7">
      <w:pPr>
        <w:ind w:left="460"/>
        <w:rPr>
          <w:lang w:val="en-US" w:eastAsia="x-none"/>
        </w:rPr>
      </w:pPr>
      <w:r>
        <w:rPr>
          <w:lang w:val="en-US" w:eastAsia="x-none"/>
        </w:rPr>
        <w:t xml:space="preserve">A UE does not expect to detect a DCI format scheduling a PDSCH reception or a SPS PDSCH release and indicating a resource for a PUCCH transmission with corresponding HARQ-ACK information in a </w:t>
      </w:r>
      <w:r>
        <w:rPr>
          <w:highlight w:val="yellow"/>
          <w:lang w:val="en-US" w:eastAsia="x-none"/>
        </w:rPr>
        <w:t xml:space="preserve">slot if </w:t>
      </w:r>
      <w:r>
        <w:rPr>
          <w:highlight w:val="yellow"/>
          <w:u w:val="single"/>
          <w:lang w:val="en-US" w:eastAsia="x-none"/>
        </w:rPr>
        <w:t>the UE previously detects</w:t>
      </w:r>
      <w:r>
        <w:rPr>
          <w:highlight w:val="yellow"/>
          <w:lang w:val="en-US" w:eastAsia="x-none"/>
        </w:rPr>
        <w:t xml:space="preserve"> a DCI format scheduling a PUSCH transmission in the slot</w:t>
      </w:r>
      <w:r>
        <w:rPr>
          <w:lang w:val="en-US" w:eastAsia="x-none"/>
        </w:rPr>
        <w:t xml:space="preserve"> and if the UE multiplexes HARQ-ACK information in the PUSCH</w:t>
      </w:r>
      <w:r>
        <w:t xml:space="preserve"> transmission. </w:t>
      </w:r>
    </w:p>
    <w:p w14:paraId="497C2375" w14:textId="77777777" w:rsidR="00E512B7" w:rsidRDefault="00E512B7" w:rsidP="00BD6CA6">
      <w:pPr>
        <w:pStyle w:val="Doc-text2"/>
        <w:tabs>
          <w:tab w:val="clear" w:pos="1622"/>
          <w:tab w:val="left" w:pos="1276"/>
        </w:tabs>
        <w:ind w:left="0" w:firstLine="0"/>
        <w:rPr>
          <w:lang w:val="en-GB"/>
        </w:rPr>
      </w:pPr>
    </w:p>
    <w:p w14:paraId="7219BADE" w14:textId="77777777" w:rsidR="00E512B7" w:rsidRDefault="00E512B7" w:rsidP="00BD6CA6">
      <w:pPr>
        <w:pStyle w:val="Doc-text2"/>
        <w:tabs>
          <w:tab w:val="clear" w:pos="1622"/>
          <w:tab w:val="left" w:pos="1276"/>
        </w:tabs>
        <w:ind w:left="0" w:firstLine="0"/>
        <w:rPr>
          <w:lang w:val="en-GB"/>
        </w:rPr>
      </w:pPr>
    </w:p>
    <w:p w14:paraId="76ACBEA0" w14:textId="77777777" w:rsidR="00E512B7" w:rsidRDefault="00E512B7" w:rsidP="00E512B7">
      <w:pPr>
        <w:pStyle w:val="CRCoverPage"/>
        <w:numPr>
          <w:ilvl w:val="0"/>
          <w:numId w:val="27"/>
        </w:numPr>
        <w:spacing w:after="0"/>
        <w:rPr>
          <w:noProof/>
          <w:lang w:eastAsia="en-US"/>
        </w:rPr>
      </w:pPr>
      <w:r>
        <w:rPr>
          <w:noProof/>
        </w:rPr>
        <w:t>When a UE configured with two CCs, it is not clear how the cDAI/tDAI are counted as the yellow highlighted in the paragraph in subclause 9.1.3.1 can be interpreted in two ways when e.g. 1 symbol CORESET with first 3 symbols of the slot are configured to contain a search space. This is because it is not clear what constitutes as a start of a search space set.</w:t>
      </w:r>
    </w:p>
    <w:p w14:paraId="5C19F8E8" w14:textId="77777777" w:rsidR="00E512B7" w:rsidRDefault="00E512B7" w:rsidP="00E512B7">
      <w:pPr>
        <w:pStyle w:val="CRCoverPage"/>
        <w:spacing w:after="0"/>
        <w:ind w:left="100"/>
        <w:rPr>
          <w:noProof/>
        </w:rPr>
      </w:pPr>
    </w:p>
    <w:p w14:paraId="6B6ED4FD" w14:textId="77777777" w:rsidR="00E512B7" w:rsidRDefault="00E512B7" w:rsidP="00E512B7">
      <w:pPr>
        <w:ind w:left="460"/>
        <w:rPr>
          <w:lang w:val="en-US" w:eastAsia="zh-CN"/>
        </w:rPr>
      </w:pPr>
      <w:r>
        <w:rPr>
          <w:lang w:eastAsia="zh-CN"/>
        </w:rPr>
        <w:t xml:space="preserve">The set of PDCCH monitoring occasions </w:t>
      </w:r>
      <w:r>
        <w:rPr>
          <w:rFonts w:eastAsia="Yu Mincho"/>
        </w:rPr>
        <w:t>for DCI format 1_0 or DCI format 1_1 for scheduling PDSCH receptions or SPS PDSCH release</w:t>
      </w:r>
      <w:r>
        <w:rPr>
          <w:lang w:eastAsia="zh-CN"/>
        </w:rPr>
        <w:t xml:space="preserve"> is defined as the union of PDCCH monitoring occasions across active DL BWPs of configured serving cells, ordered in ascending order of </w:t>
      </w:r>
      <w:r>
        <w:rPr>
          <w:highlight w:val="yellow"/>
          <w:lang w:eastAsia="zh-CN"/>
        </w:rPr>
        <w:t xml:space="preserve">start time of the </w:t>
      </w:r>
      <w:r>
        <w:rPr>
          <w:highlight w:val="yellow"/>
        </w:rPr>
        <w:t xml:space="preserve">search space set </w:t>
      </w:r>
      <w:r>
        <w:rPr>
          <w:highlight w:val="yellow"/>
          <w:lang w:eastAsia="zh-CN"/>
        </w:rPr>
        <w:t>associated with a PDCCH monitoring occasion</w:t>
      </w:r>
      <w:r>
        <w:rPr>
          <w:lang w:eastAsia="zh-CN"/>
        </w:rPr>
        <w:t xml:space="preserve">. The cardinality of the set of PDCCH monitoring occasions defines a total number </w:t>
      </w:r>
      <w:r>
        <w:rPr>
          <w:rFonts w:eastAsia="SimSun" w:cs="Arial"/>
          <w:position w:val="-4"/>
          <w:lang w:eastAsia="zh-CN"/>
        </w:rPr>
        <w:object w:dxaOrig="285" w:dyaOrig="240" w14:anchorId="3E6E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o:ole="">
            <v:imagedata r:id="rId12" o:title=""/>
          </v:shape>
          <o:OLEObject Type="Embed" ProgID="Equation.3" ShapeID="_x0000_i1025" DrawAspect="Content" ObjectID="_1673078872" r:id="rId13"/>
        </w:object>
      </w:r>
      <w:r>
        <w:rPr>
          <w:lang w:eastAsia="zh-CN"/>
        </w:rPr>
        <w:t xml:space="preserve"> of PDCCH monitoring occasions.</w:t>
      </w:r>
    </w:p>
    <w:p w14:paraId="15EDDFA7" w14:textId="77777777" w:rsidR="00E512B7" w:rsidRDefault="00E512B7" w:rsidP="00E512B7">
      <w:pPr>
        <w:pStyle w:val="CRCoverPage"/>
        <w:spacing w:after="0"/>
        <w:ind w:left="100"/>
        <w:rPr>
          <w:noProof/>
          <w:lang w:eastAsia="en-US"/>
        </w:rPr>
      </w:pPr>
    </w:p>
    <w:p w14:paraId="61A9D951" w14:textId="77777777" w:rsidR="00E512B7" w:rsidRDefault="00E512B7" w:rsidP="00E512B7">
      <w:pPr>
        <w:pStyle w:val="CRCoverPage"/>
        <w:spacing w:after="0"/>
        <w:ind w:left="100"/>
        <w:rPr>
          <w:noProof/>
        </w:rPr>
      </w:pPr>
    </w:p>
    <w:p w14:paraId="4C02D57C" w14:textId="77777777" w:rsidR="00E512B7" w:rsidRDefault="00E512B7" w:rsidP="00E512B7">
      <w:pPr>
        <w:pStyle w:val="CRCoverPage"/>
        <w:spacing w:after="0"/>
        <w:ind w:left="100"/>
        <w:rPr>
          <w:b/>
          <w:bCs/>
          <w:noProof/>
        </w:rPr>
      </w:pPr>
      <w:r>
        <w:rPr>
          <w:b/>
          <w:bCs/>
          <w:noProof/>
        </w:rPr>
        <w:t>Interpretation 1: Even tough there are 3 symbols where PDCCH could be transmitted, they are all part of just one search space set, so the “start time of the search space set” is symbol 0 regardless of where DCI is actually transmitted</w:t>
      </w:r>
    </w:p>
    <w:p w14:paraId="23C4E6D1" w14:textId="2FA871E2" w:rsidR="00E512B7" w:rsidRDefault="00E512B7" w:rsidP="00E512B7">
      <w:pPr>
        <w:pStyle w:val="CRCoverPage"/>
        <w:spacing w:after="0"/>
        <w:ind w:left="100"/>
        <w:rPr>
          <w:noProof/>
        </w:rPr>
      </w:pPr>
      <w:r>
        <w:rPr>
          <w:noProof/>
        </w:rPr>
        <w:lastRenderedPageBreak/>
        <w:drawing>
          <wp:inline distT="0" distB="0" distL="0" distR="0" wp14:anchorId="2BB5C0A8" wp14:editId="5E319831">
            <wp:extent cx="4067175" cy="2085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7175" cy="2085975"/>
                    </a:xfrm>
                    <a:prstGeom prst="rect">
                      <a:avLst/>
                    </a:prstGeom>
                    <a:noFill/>
                    <a:ln>
                      <a:noFill/>
                    </a:ln>
                  </pic:spPr>
                </pic:pic>
              </a:graphicData>
            </a:graphic>
          </wp:inline>
        </w:drawing>
      </w:r>
    </w:p>
    <w:p w14:paraId="53D7A190" w14:textId="77777777" w:rsidR="00E512B7" w:rsidRDefault="00E512B7" w:rsidP="00E512B7">
      <w:pPr>
        <w:pStyle w:val="CRCoverPage"/>
        <w:spacing w:after="0"/>
        <w:ind w:left="100"/>
        <w:rPr>
          <w:noProof/>
        </w:rPr>
      </w:pPr>
    </w:p>
    <w:p w14:paraId="125DEFA6" w14:textId="1D2E5D1C" w:rsidR="00E512B7" w:rsidRDefault="00E512B7" w:rsidP="00E512B7">
      <w:pPr>
        <w:pStyle w:val="CRCoverPage"/>
        <w:spacing w:after="0"/>
        <w:ind w:left="100"/>
        <w:rPr>
          <w:b/>
          <w:bCs/>
          <w:noProof/>
        </w:rPr>
      </w:pPr>
      <w:r>
        <w:rPr>
          <w:b/>
          <w:bCs/>
          <w:noProof/>
        </w:rPr>
        <w:t>Interpretation 2: The start time of the search space set is the symbol of the search space in which DCI is transmitted</w:t>
      </w:r>
    </w:p>
    <w:p w14:paraId="16B6B1CC" w14:textId="0A82CD3A" w:rsidR="00A56858" w:rsidRDefault="00A56858" w:rsidP="00E512B7">
      <w:pPr>
        <w:pStyle w:val="CRCoverPage"/>
        <w:spacing w:after="0"/>
        <w:ind w:left="100"/>
        <w:rPr>
          <w:b/>
          <w:bCs/>
          <w:noProof/>
        </w:rPr>
      </w:pPr>
      <w:r>
        <w:rPr>
          <w:noProof/>
        </w:rPr>
        <w:drawing>
          <wp:inline distT="0" distB="0" distL="0" distR="0" wp14:anchorId="5707D108" wp14:editId="61EB0B20">
            <wp:extent cx="3979545" cy="1797050"/>
            <wp:effectExtent l="0" t="0" r="1905" b="0"/>
            <wp:docPr id="8" name="Picture 7">
              <a:extLst xmlns:a="http://schemas.openxmlformats.org/drawingml/2006/main">
                <a:ext uri="{FF2B5EF4-FFF2-40B4-BE49-F238E27FC236}">
                  <a16:creationId xmlns:a16="http://schemas.microsoft.com/office/drawing/2014/main" id="{012EB2F5-FF8E-4C1E-B59C-B5931B6CB60F}"/>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12EB2F5-FF8E-4C1E-B59C-B5931B6CB60F}"/>
                        </a:ext>
                      </a:extLst>
                    </pic:cNvPr>
                    <pic:cNvPicPr/>
                  </pic:nvPicPr>
                  <pic:blipFill>
                    <a:blip r:embed="rId15"/>
                    <a:stretch>
                      <a:fillRect/>
                    </a:stretch>
                  </pic:blipFill>
                  <pic:spPr>
                    <a:xfrm>
                      <a:off x="0" y="0"/>
                      <a:ext cx="3979545" cy="1797050"/>
                    </a:xfrm>
                    <a:prstGeom prst="rect">
                      <a:avLst/>
                    </a:prstGeom>
                  </pic:spPr>
                </pic:pic>
              </a:graphicData>
            </a:graphic>
          </wp:inline>
        </w:drawing>
      </w:r>
    </w:p>
    <w:p w14:paraId="1CF549C0" w14:textId="77777777" w:rsidR="00BA6870" w:rsidRDefault="00BA6870" w:rsidP="00BD6CA6">
      <w:pPr>
        <w:pStyle w:val="Doc-text2"/>
        <w:tabs>
          <w:tab w:val="clear" w:pos="1622"/>
          <w:tab w:val="left" w:pos="1276"/>
        </w:tabs>
        <w:ind w:left="0" w:firstLine="0"/>
        <w:rPr>
          <w:lang w:val="en-GB"/>
        </w:rPr>
      </w:pPr>
    </w:p>
    <w:p w14:paraId="29A21C9B" w14:textId="643E5CBF" w:rsidR="00BA6870" w:rsidRPr="00BA6870" w:rsidRDefault="00DF43CF" w:rsidP="00BA6870">
      <w:pPr>
        <w:pStyle w:val="Heading1"/>
      </w:pPr>
      <w:bookmarkStart w:id="4" w:name="_Toc62031199"/>
      <w:r w:rsidRPr="00425E6E">
        <w:rPr>
          <w:rStyle w:val="Heading1Char"/>
        </w:rPr>
        <w:t>2</w:t>
      </w:r>
      <w:r w:rsidR="000702B2">
        <w:rPr>
          <w:rStyle w:val="Heading1Char"/>
        </w:rPr>
        <w:tab/>
      </w:r>
      <w:bookmarkEnd w:id="4"/>
      <w:r w:rsidR="00E512B7">
        <w:rPr>
          <w:rStyle w:val="Heading1Char"/>
        </w:rPr>
        <w:t>Discussion</w:t>
      </w:r>
    </w:p>
    <w:p w14:paraId="3DC7C5B6" w14:textId="32D2919C" w:rsidR="00BA6870" w:rsidRDefault="00BA6870" w:rsidP="00BA6870">
      <w:pPr>
        <w:pStyle w:val="Heading1"/>
        <w:rPr>
          <w:rStyle w:val="Heading2Char"/>
        </w:rPr>
      </w:pPr>
      <w:bookmarkStart w:id="5" w:name="_Toc62031202"/>
      <w:r w:rsidRPr="00BA6870">
        <w:rPr>
          <w:rStyle w:val="Heading2Char"/>
        </w:rPr>
        <w:t>2</w:t>
      </w:r>
      <w:r>
        <w:rPr>
          <w:rStyle w:val="Heading2Char"/>
        </w:rPr>
        <w:t>.</w:t>
      </w:r>
      <w:r w:rsidR="00E512B7">
        <w:rPr>
          <w:rStyle w:val="Heading2Char"/>
        </w:rPr>
        <w:t>1</w:t>
      </w:r>
      <w:r w:rsidRPr="00BA6870">
        <w:rPr>
          <w:rStyle w:val="Heading2Char"/>
        </w:rPr>
        <w:tab/>
      </w:r>
      <w:bookmarkEnd w:id="5"/>
      <w:r w:rsidR="00E512B7">
        <w:rPr>
          <w:rStyle w:val="Heading2Char"/>
        </w:rPr>
        <w:t xml:space="preserve">Issue </w:t>
      </w:r>
      <w:r w:rsidR="00A56858">
        <w:rPr>
          <w:rStyle w:val="Heading2Char"/>
        </w:rPr>
        <w:t>#</w:t>
      </w:r>
      <w:r w:rsidR="00E512B7">
        <w:rPr>
          <w:rStyle w:val="Heading2Char"/>
        </w:rPr>
        <w:t>1</w:t>
      </w:r>
    </w:p>
    <w:p w14:paraId="17811FD1" w14:textId="1EC57F36" w:rsidR="00E512B7" w:rsidRDefault="00E512B7" w:rsidP="00E512B7">
      <w:r>
        <w:t xml:space="preserve">Possible interpretation 1: The word ‘previously’ refers to a previous </w:t>
      </w:r>
      <w:r w:rsidR="00B238F4">
        <w:t xml:space="preserve">set of </w:t>
      </w:r>
      <w:r>
        <w:t>search space</w:t>
      </w:r>
      <w:r w:rsidR="00B238F4">
        <w:t>s</w:t>
      </w:r>
      <w:r>
        <w:t xml:space="preserve"> (</w:t>
      </w:r>
      <w:r w:rsidR="00BA383A">
        <w:t>no</w:t>
      </w:r>
      <w:r w:rsidR="009A552A">
        <w:t>t counting</w:t>
      </w:r>
      <w:r w:rsidR="00BA383A">
        <w:t xml:space="preserve"> symbol-wise</w:t>
      </w:r>
      <w:r>
        <w:t>)</w:t>
      </w:r>
      <w:r w:rsidR="00A56858">
        <w:t xml:space="preserve">, and the UE is expected to process both DCIs regardless of their order in time if they are in the </w:t>
      </w:r>
      <w:r w:rsidR="00B238F4">
        <w:t xml:space="preserve">same </w:t>
      </w:r>
      <w:r w:rsidR="00BA383A">
        <w:t>g</w:t>
      </w:r>
      <w:r w:rsidR="00A56858">
        <w:t>roup of search spaces.</w:t>
      </w:r>
    </w:p>
    <w:p w14:paraId="38B0078A" w14:textId="72ECF2A4" w:rsidR="00E512B7" w:rsidRDefault="00E512B7" w:rsidP="00E512B7">
      <w:r>
        <w:t xml:space="preserve">Possible interpretation 2: The word ‘previously’ refers to any previous symbol, and the UE may drop the DCI scheduling the PDSCH unless </w:t>
      </w:r>
      <w:proofErr w:type="spellStart"/>
      <w:r>
        <w:t>gNB</w:t>
      </w:r>
      <w:proofErr w:type="spellEnd"/>
      <w:r>
        <w:t xml:space="preserve"> </w:t>
      </w:r>
      <w:r w:rsidR="00BA383A">
        <w:t xml:space="preserve">ensures </w:t>
      </w:r>
      <w:r>
        <w:t xml:space="preserve">that the PUSCH-scheduling DCI is in </w:t>
      </w:r>
      <w:r w:rsidR="00BA383A">
        <w:t>an overlapping</w:t>
      </w:r>
      <w:r>
        <w:t xml:space="preserve"> or in a later symbol </w:t>
      </w:r>
      <w:r w:rsidR="00BA383A">
        <w:t>than</w:t>
      </w:r>
      <w:r>
        <w:t xml:space="preserve"> the P</w:t>
      </w:r>
      <w:r w:rsidR="00A56858">
        <w:t>DSCH-scheduling</w:t>
      </w:r>
      <w:r w:rsidR="00BA383A">
        <w:t xml:space="preserve"> </w:t>
      </w:r>
      <w:r w:rsidR="00A56858">
        <w:t>DCI</w:t>
      </w:r>
      <w:r w:rsidR="00BA383A">
        <w:t>.</w:t>
      </w:r>
    </w:p>
    <w:p w14:paraId="23C32145" w14:textId="500C56D0" w:rsidR="00A56858" w:rsidRDefault="00A56858" w:rsidP="00E512B7">
      <w:r>
        <w:t>Possible actions:</w:t>
      </w:r>
    </w:p>
    <w:p w14:paraId="7CE05702" w14:textId="09144CDD" w:rsidR="00A56858" w:rsidRPr="00A56858" w:rsidRDefault="00A56858" w:rsidP="00A56858">
      <w:pPr>
        <w:pStyle w:val="ListParagraph"/>
        <w:numPr>
          <w:ilvl w:val="0"/>
          <w:numId w:val="30"/>
        </w:numPr>
        <w:rPr>
          <w:rFonts w:ascii="Times New Roman" w:hAnsi="Times New Roman"/>
          <w:sz w:val="20"/>
          <w:szCs w:val="20"/>
          <w:lang w:val="en-GB"/>
        </w:rPr>
      </w:pPr>
      <w:r w:rsidRPr="00A56858">
        <w:rPr>
          <w:rFonts w:ascii="Times New Roman" w:hAnsi="Times New Roman"/>
          <w:sz w:val="20"/>
          <w:szCs w:val="20"/>
          <w:lang w:val="en-GB"/>
        </w:rPr>
        <w:t>Draft a CR</w:t>
      </w:r>
    </w:p>
    <w:p w14:paraId="09BB9807" w14:textId="54669000" w:rsidR="00A56858" w:rsidRDefault="00A56858" w:rsidP="00A56858">
      <w:pPr>
        <w:pStyle w:val="ListParagraph"/>
        <w:numPr>
          <w:ilvl w:val="0"/>
          <w:numId w:val="30"/>
        </w:numPr>
        <w:rPr>
          <w:rFonts w:ascii="Times New Roman" w:hAnsi="Times New Roman"/>
          <w:sz w:val="20"/>
          <w:szCs w:val="20"/>
          <w:lang w:val="en-GB"/>
        </w:rPr>
      </w:pPr>
      <w:r w:rsidRPr="00A56858">
        <w:rPr>
          <w:rFonts w:ascii="Times New Roman" w:hAnsi="Times New Roman"/>
          <w:sz w:val="20"/>
          <w:szCs w:val="20"/>
          <w:lang w:val="en-GB"/>
        </w:rPr>
        <w:t>Capture a RAN1 conclusion in the chairman’s notes</w:t>
      </w:r>
    </w:p>
    <w:p w14:paraId="7DAF44CF" w14:textId="77777777" w:rsidR="00BA383A" w:rsidRPr="00BA383A" w:rsidRDefault="00BA383A" w:rsidP="00BA383A">
      <w:pPr>
        <w:pStyle w:val="ListParagraph"/>
        <w:rPr>
          <w:rFonts w:ascii="Times New Roman" w:hAnsi="Times New Roman"/>
          <w:sz w:val="20"/>
          <w:szCs w:val="20"/>
          <w:lang w:val="en-GB"/>
        </w:rPr>
      </w:pPr>
    </w:p>
    <w:tbl>
      <w:tblPr>
        <w:tblW w:w="9776" w:type="dxa"/>
        <w:tblLook w:val="04A0" w:firstRow="1" w:lastRow="0" w:firstColumn="1" w:lastColumn="0" w:noHBand="0" w:noVBand="1"/>
      </w:tblPr>
      <w:tblGrid>
        <w:gridCol w:w="1838"/>
        <w:gridCol w:w="7938"/>
      </w:tblGrid>
      <w:tr w:rsidR="00A56858" w:rsidRPr="00BA6870" w14:paraId="72541F24" w14:textId="77777777" w:rsidTr="009B2DA8">
        <w:trPr>
          <w:trHeight w:val="348"/>
        </w:trPr>
        <w:tc>
          <w:tcPr>
            <w:tcW w:w="1838" w:type="dxa"/>
            <w:tcBorders>
              <w:top w:val="single" w:sz="4" w:space="0" w:color="FFFFFF"/>
              <w:left w:val="single" w:sz="4" w:space="0" w:color="FFFFFF"/>
              <w:bottom w:val="single" w:sz="4" w:space="0" w:color="FFFFFF"/>
              <w:right w:val="single" w:sz="4" w:space="0" w:color="FFFFFF"/>
            </w:tcBorders>
            <w:shd w:val="clear" w:color="000000" w:fill="75B91A"/>
          </w:tcPr>
          <w:p w14:paraId="429B1E87" w14:textId="35D87202" w:rsidR="00A56858" w:rsidRPr="00A56858" w:rsidRDefault="00A56858" w:rsidP="00EB43D8">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Company</w:t>
            </w:r>
          </w:p>
        </w:tc>
        <w:tc>
          <w:tcPr>
            <w:tcW w:w="7938" w:type="dxa"/>
            <w:tcBorders>
              <w:top w:val="single" w:sz="4" w:space="0" w:color="FFFFFF"/>
              <w:left w:val="nil"/>
              <w:bottom w:val="single" w:sz="4" w:space="0" w:color="FFFFFF"/>
              <w:right w:val="single" w:sz="4" w:space="0" w:color="FFFFFF"/>
            </w:tcBorders>
            <w:shd w:val="clear" w:color="000000" w:fill="75B91A"/>
            <w:hideMark/>
          </w:tcPr>
          <w:p w14:paraId="108ED3A0" w14:textId="777ADE9F" w:rsidR="00A56858" w:rsidRPr="00A56858" w:rsidRDefault="00A56858" w:rsidP="00EB43D8">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Comment</w:t>
            </w:r>
          </w:p>
        </w:tc>
      </w:tr>
      <w:tr w:rsidR="00A56858" w:rsidRPr="00BA6870" w14:paraId="68FCCA06" w14:textId="77777777" w:rsidTr="002129E4">
        <w:trPr>
          <w:trHeight w:val="450"/>
        </w:trPr>
        <w:tc>
          <w:tcPr>
            <w:tcW w:w="1838" w:type="dxa"/>
            <w:tcBorders>
              <w:top w:val="nil"/>
              <w:left w:val="single" w:sz="4" w:space="0" w:color="A6A6A6"/>
              <w:bottom w:val="nil"/>
              <w:right w:val="single" w:sz="4" w:space="0" w:color="A6A6A6"/>
            </w:tcBorders>
          </w:tcPr>
          <w:p w14:paraId="6CE18E55" w14:textId="29FCA6A1" w:rsidR="00A56858" w:rsidRPr="00A56858" w:rsidRDefault="00A56858" w:rsidP="000C4972">
            <w:pPr>
              <w:overflowPunct/>
              <w:autoSpaceDE/>
              <w:autoSpaceDN/>
              <w:adjustRightInd/>
              <w:spacing w:after="0"/>
              <w:textAlignment w:val="auto"/>
              <w:rPr>
                <w:color w:val="0563C1"/>
                <w:u w:val="single"/>
              </w:rPr>
            </w:pPr>
            <w:r w:rsidRPr="00A56858">
              <w:rPr>
                <w:rFonts w:ascii="Arial" w:eastAsia="Times New Roman" w:hAnsi="Arial" w:cs="Arial"/>
                <w:lang w:val="en-US" w:eastAsia="en-US"/>
              </w:rPr>
              <w:t>Nokia, NSB</w:t>
            </w:r>
          </w:p>
        </w:tc>
        <w:tc>
          <w:tcPr>
            <w:tcW w:w="7938" w:type="dxa"/>
            <w:tcBorders>
              <w:top w:val="nil"/>
              <w:left w:val="nil"/>
              <w:bottom w:val="nil"/>
              <w:right w:val="single" w:sz="4" w:space="0" w:color="A6A6A6"/>
            </w:tcBorders>
            <w:shd w:val="clear" w:color="auto" w:fill="auto"/>
          </w:tcPr>
          <w:p w14:paraId="03D18523" w14:textId="5973CFC4" w:rsidR="00A56858" w:rsidRDefault="00A56858" w:rsidP="000C4972">
            <w:pPr>
              <w:overflowPunct/>
              <w:autoSpaceDE/>
              <w:autoSpaceDN/>
              <w:adjustRightInd/>
              <w:spacing w:after="0"/>
              <w:textAlignment w:val="auto"/>
              <w:rPr>
                <w:rFonts w:ascii="Arial" w:eastAsia="Times New Roman" w:hAnsi="Arial" w:cs="Arial"/>
                <w:lang w:val="en-US" w:eastAsia="en-US"/>
              </w:rPr>
            </w:pPr>
            <w:r w:rsidRPr="00B238F4">
              <w:rPr>
                <w:rFonts w:ascii="Arial" w:eastAsia="Times New Roman" w:hAnsi="Arial" w:cs="Arial"/>
                <w:b/>
                <w:bCs/>
                <w:lang w:val="en-US" w:eastAsia="en-US"/>
              </w:rPr>
              <w:t>Interpretation</w:t>
            </w:r>
            <w:r w:rsidR="00BA383A">
              <w:rPr>
                <w:rFonts w:ascii="Arial" w:eastAsia="Times New Roman" w:hAnsi="Arial" w:cs="Arial"/>
                <w:b/>
                <w:bCs/>
                <w:lang w:val="en-US" w:eastAsia="en-US"/>
              </w:rPr>
              <w:t xml:space="preserve"> </w:t>
            </w:r>
            <w:r w:rsidRPr="00B238F4">
              <w:rPr>
                <w:rFonts w:ascii="Arial" w:eastAsia="Times New Roman" w:hAnsi="Arial" w:cs="Arial"/>
                <w:b/>
                <w:bCs/>
                <w:lang w:val="en-US" w:eastAsia="en-US"/>
              </w:rPr>
              <w:t>1:</w:t>
            </w:r>
            <w:r>
              <w:rPr>
                <w:rFonts w:ascii="Arial" w:eastAsia="Times New Roman" w:hAnsi="Arial" w:cs="Arial"/>
                <w:lang w:val="en-US" w:eastAsia="en-US"/>
              </w:rPr>
              <w:t xml:space="preserve"> The previously should refer to an earlier </w:t>
            </w:r>
            <w:r w:rsidR="00B238F4">
              <w:rPr>
                <w:rFonts w:ascii="Arial" w:eastAsia="Times New Roman" w:hAnsi="Arial" w:cs="Arial"/>
                <w:lang w:val="en-US" w:eastAsia="en-US"/>
              </w:rPr>
              <w:t>set of search spaces</w:t>
            </w:r>
            <w:r w:rsidR="00BA383A">
              <w:rPr>
                <w:rFonts w:ascii="Arial" w:eastAsia="Times New Roman" w:hAnsi="Arial" w:cs="Arial"/>
                <w:lang w:val="en-US" w:eastAsia="en-US"/>
              </w:rPr>
              <w:t>.</w:t>
            </w:r>
          </w:p>
          <w:p w14:paraId="63590409" w14:textId="79C3731A" w:rsidR="00A56858" w:rsidRPr="00A56858" w:rsidRDefault="00A56858" w:rsidP="00A56858">
            <w:pPr>
              <w:overflowPunct/>
              <w:autoSpaceDE/>
              <w:autoSpaceDN/>
              <w:adjustRightInd/>
              <w:textAlignment w:val="auto"/>
              <w:rPr>
                <w:rFonts w:ascii="Arial" w:eastAsia="Times New Roman" w:hAnsi="Arial" w:cs="Arial"/>
                <w:lang w:val="en-US" w:eastAsia="en-US"/>
              </w:rPr>
            </w:pPr>
            <w:r w:rsidRPr="00B238F4">
              <w:rPr>
                <w:rFonts w:ascii="Arial" w:eastAsia="Times New Roman" w:hAnsi="Arial" w:cs="Arial"/>
                <w:b/>
                <w:bCs/>
                <w:lang w:val="en-US" w:eastAsia="en-US"/>
              </w:rPr>
              <w:t>Action a)</w:t>
            </w:r>
            <w:r w:rsidR="00B238F4">
              <w:rPr>
                <w:rFonts w:ascii="Arial" w:eastAsia="Times New Roman" w:hAnsi="Arial" w:cs="Arial"/>
                <w:b/>
                <w:bCs/>
                <w:lang w:val="en-US" w:eastAsia="en-US"/>
              </w:rPr>
              <w:t>:</w:t>
            </w:r>
            <w:r>
              <w:rPr>
                <w:rFonts w:ascii="Arial" w:eastAsia="Times New Roman" w:hAnsi="Arial" w:cs="Arial"/>
                <w:lang w:val="en-US" w:eastAsia="en-US"/>
              </w:rPr>
              <w:t xml:space="preserve"> a CR should be drafted and agreed</w:t>
            </w:r>
            <w:r w:rsidR="00BA383A">
              <w:rPr>
                <w:rFonts w:ascii="Arial" w:eastAsia="Times New Roman" w:hAnsi="Arial" w:cs="Arial"/>
                <w:lang w:val="en-US" w:eastAsia="en-US"/>
              </w:rPr>
              <w:t xml:space="preserve"> together with issue #2</w:t>
            </w:r>
          </w:p>
        </w:tc>
      </w:tr>
      <w:tr w:rsidR="00A56858" w:rsidRPr="00BA6870" w14:paraId="37CC77FD" w14:textId="77777777" w:rsidTr="002129E4">
        <w:trPr>
          <w:trHeight w:val="450"/>
        </w:trPr>
        <w:tc>
          <w:tcPr>
            <w:tcW w:w="1838" w:type="dxa"/>
            <w:tcBorders>
              <w:top w:val="nil"/>
              <w:left w:val="single" w:sz="4" w:space="0" w:color="A6A6A6"/>
              <w:bottom w:val="nil"/>
              <w:right w:val="single" w:sz="4" w:space="0" w:color="A6A6A6"/>
            </w:tcBorders>
          </w:tcPr>
          <w:p w14:paraId="6E09CF0D" w14:textId="77777777" w:rsidR="00A56858" w:rsidRPr="00A56858" w:rsidRDefault="00A56858" w:rsidP="000C4972">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09590975" w14:textId="77777777" w:rsidR="00A56858" w:rsidRDefault="00A56858" w:rsidP="000C4972">
            <w:pPr>
              <w:overflowPunct/>
              <w:autoSpaceDE/>
              <w:autoSpaceDN/>
              <w:adjustRightInd/>
              <w:spacing w:after="0"/>
              <w:textAlignment w:val="auto"/>
              <w:rPr>
                <w:rFonts w:ascii="Arial" w:eastAsia="Times New Roman" w:hAnsi="Arial" w:cs="Arial"/>
                <w:lang w:val="en-US" w:eastAsia="en-US"/>
              </w:rPr>
            </w:pPr>
          </w:p>
        </w:tc>
      </w:tr>
      <w:tr w:rsidR="00A56858" w:rsidRPr="00BA6870" w14:paraId="2A12549B" w14:textId="77777777" w:rsidTr="002129E4">
        <w:trPr>
          <w:trHeight w:val="450"/>
        </w:trPr>
        <w:tc>
          <w:tcPr>
            <w:tcW w:w="1838" w:type="dxa"/>
            <w:tcBorders>
              <w:top w:val="nil"/>
              <w:left w:val="single" w:sz="4" w:space="0" w:color="A6A6A6"/>
              <w:bottom w:val="nil"/>
              <w:right w:val="single" w:sz="4" w:space="0" w:color="A6A6A6"/>
            </w:tcBorders>
          </w:tcPr>
          <w:p w14:paraId="390B402C" w14:textId="77777777" w:rsidR="00A56858" w:rsidRPr="00A56858" w:rsidRDefault="00A56858" w:rsidP="000C4972">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7FA9A455" w14:textId="77777777" w:rsidR="00A56858" w:rsidRDefault="00A56858" w:rsidP="000C4972">
            <w:pPr>
              <w:overflowPunct/>
              <w:autoSpaceDE/>
              <w:autoSpaceDN/>
              <w:adjustRightInd/>
              <w:spacing w:after="0"/>
              <w:textAlignment w:val="auto"/>
              <w:rPr>
                <w:rFonts w:ascii="Arial" w:eastAsia="Times New Roman" w:hAnsi="Arial" w:cs="Arial"/>
                <w:lang w:val="en-US" w:eastAsia="en-US"/>
              </w:rPr>
            </w:pPr>
          </w:p>
        </w:tc>
      </w:tr>
      <w:tr w:rsidR="00BA383A" w:rsidRPr="00BA6870" w14:paraId="7D0E1ED4" w14:textId="77777777" w:rsidTr="002129E4">
        <w:trPr>
          <w:trHeight w:val="450"/>
        </w:trPr>
        <w:tc>
          <w:tcPr>
            <w:tcW w:w="1838" w:type="dxa"/>
            <w:tcBorders>
              <w:top w:val="nil"/>
              <w:left w:val="single" w:sz="4" w:space="0" w:color="A6A6A6"/>
              <w:bottom w:val="nil"/>
              <w:right w:val="single" w:sz="4" w:space="0" w:color="A6A6A6"/>
            </w:tcBorders>
          </w:tcPr>
          <w:p w14:paraId="7B3400F5" w14:textId="77777777" w:rsidR="00BA383A" w:rsidRPr="00A56858" w:rsidRDefault="00BA383A" w:rsidP="000C4972">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1515B6AF" w14:textId="77777777" w:rsidR="00BA383A" w:rsidRDefault="00BA383A" w:rsidP="000C4972">
            <w:pPr>
              <w:overflowPunct/>
              <w:autoSpaceDE/>
              <w:autoSpaceDN/>
              <w:adjustRightInd/>
              <w:spacing w:after="0"/>
              <w:textAlignment w:val="auto"/>
              <w:rPr>
                <w:rFonts w:ascii="Arial" w:eastAsia="Times New Roman" w:hAnsi="Arial" w:cs="Arial"/>
                <w:lang w:val="en-US" w:eastAsia="en-US"/>
              </w:rPr>
            </w:pPr>
          </w:p>
        </w:tc>
      </w:tr>
    </w:tbl>
    <w:p w14:paraId="3AD2F54E" w14:textId="400B94C4" w:rsidR="00C413D0" w:rsidRDefault="00C413D0" w:rsidP="00C413D0">
      <w:pPr>
        <w:rPr>
          <w:b/>
          <w:bCs/>
        </w:rPr>
      </w:pPr>
    </w:p>
    <w:p w14:paraId="1756FD0C" w14:textId="54A1C4E4" w:rsidR="00A56858" w:rsidRDefault="00A56858" w:rsidP="00C413D0">
      <w:pPr>
        <w:rPr>
          <w:b/>
          <w:bCs/>
        </w:rPr>
      </w:pPr>
    </w:p>
    <w:p w14:paraId="6B4A2BAD" w14:textId="1D951BEE" w:rsidR="00A56858" w:rsidRDefault="00A56858" w:rsidP="00A56858">
      <w:pPr>
        <w:pStyle w:val="Heading1"/>
        <w:rPr>
          <w:rStyle w:val="Heading2Char"/>
        </w:rPr>
      </w:pPr>
      <w:r w:rsidRPr="00BA6870">
        <w:rPr>
          <w:rStyle w:val="Heading2Char"/>
        </w:rPr>
        <w:t>2</w:t>
      </w:r>
      <w:r>
        <w:rPr>
          <w:rStyle w:val="Heading2Char"/>
        </w:rPr>
        <w:t>.2</w:t>
      </w:r>
      <w:r w:rsidRPr="00BA6870">
        <w:rPr>
          <w:rStyle w:val="Heading2Char"/>
        </w:rPr>
        <w:tab/>
      </w:r>
      <w:r>
        <w:rPr>
          <w:rStyle w:val="Heading2Char"/>
        </w:rPr>
        <w:t>Issue #2</w:t>
      </w:r>
    </w:p>
    <w:p w14:paraId="177A7340" w14:textId="72F17598" w:rsidR="00A56858" w:rsidRDefault="00A56858" w:rsidP="00A56858">
      <w:r>
        <w:t xml:space="preserve">Possible interpretation 1: The start of a search space set </w:t>
      </w:r>
      <w:r w:rsidR="009A552A">
        <w:t>is understood as the first symbol of any CORESET in the search space configuration. See th</w:t>
      </w:r>
      <w:r w:rsidR="00BA383A">
        <w:t>e 1</w:t>
      </w:r>
      <w:r w:rsidR="00BA383A" w:rsidRPr="00BA383A">
        <w:rPr>
          <w:vertAlign w:val="superscript"/>
        </w:rPr>
        <w:t>st</w:t>
      </w:r>
      <w:r w:rsidR="00BA383A">
        <w:t xml:space="preserve"> figure in the introduction</w:t>
      </w:r>
      <w:r w:rsidR="009A552A">
        <w:t>.</w:t>
      </w:r>
    </w:p>
    <w:p w14:paraId="0CC87C64" w14:textId="5AE1EBE3" w:rsidR="009A552A" w:rsidRDefault="00A56858" w:rsidP="00A56858">
      <w:r>
        <w:t xml:space="preserve">Possible interpretation 2: </w:t>
      </w:r>
      <w:r w:rsidR="009A552A">
        <w:t>The start of a search space set is understood as the first symbol of that CORESET in which the DCI is in. See the 2</w:t>
      </w:r>
      <w:r w:rsidR="009A552A" w:rsidRPr="009A552A">
        <w:rPr>
          <w:vertAlign w:val="superscript"/>
        </w:rPr>
        <w:t>nd</w:t>
      </w:r>
      <w:r w:rsidR="009A552A">
        <w:t xml:space="preserve"> figure in the introduction.</w:t>
      </w:r>
    </w:p>
    <w:p w14:paraId="681A3245" w14:textId="77777777" w:rsidR="00A56858" w:rsidRDefault="00A56858" w:rsidP="00A56858">
      <w:r>
        <w:t>Possible actions:</w:t>
      </w:r>
    </w:p>
    <w:p w14:paraId="50076CBD" w14:textId="77777777" w:rsidR="00A56858" w:rsidRPr="00A56858" w:rsidRDefault="00A56858" w:rsidP="00A56858">
      <w:pPr>
        <w:pStyle w:val="ListParagraph"/>
        <w:numPr>
          <w:ilvl w:val="0"/>
          <w:numId w:val="31"/>
        </w:numPr>
        <w:rPr>
          <w:rFonts w:ascii="Times New Roman" w:hAnsi="Times New Roman"/>
          <w:sz w:val="20"/>
          <w:szCs w:val="20"/>
          <w:lang w:val="en-GB"/>
        </w:rPr>
      </w:pPr>
      <w:r w:rsidRPr="00A56858">
        <w:rPr>
          <w:rFonts w:ascii="Times New Roman" w:hAnsi="Times New Roman"/>
          <w:sz w:val="20"/>
          <w:szCs w:val="20"/>
          <w:lang w:val="en-GB"/>
        </w:rPr>
        <w:t>Draft a CR</w:t>
      </w:r>
    </w:p>
    <w:p w14:paraId="0381D265" w14:textId="48611A0F" w:rsidR="00A56858" w:rsidRDefault="00A56858" w:rsidP="00A56858">
      <w:pPr>
        <w:pStyle w:val="ListParagraph"/>
        <w:numPr>
          <w:ilvl w:val="0"/>
          <w:numId w:val="31"/>
        </w:numPr>
        <w:rPr>
          <w:rFonts w:ascii="Times New Roman" w:hAnsi="Times New Roman"/>
          <w:sz w:val="20"/>
          <w:szCs w:val="20"/>
          <w:lang w:val="en-GB"/>
        </w:rPr>
      </w:pPr>
      <w:r w:rsidRPr="00A56858">
        <w:rPr>
          <w:rFonts w:ascii="Times New Roman" w:hAnsi="Times New Roman"/>
          <w:sz w:val="20"/>
          <w:szCs w:val="20"/>
          <w:lang w:val="en-GB"/>
        </w:rPr>
        <w:t>Capture a RAN1 conclusion in the chairman’s notes</w:t>
      </w:r>
    </w:p>
    <w:p w14:paraId="50317CD4" w14:textId="77777777" w:rsidR="00BA383A" w:rsidRPr="00BA383A" w:rsidRDefault="00BA383A" w:rsidP="00BA383A">
      <w:pPr>
        <w:pStyle w:val="ListParagraph"/>
        <w:rPr>
          <w:rFonts w:ascii="Times New Roman" w:hAnsi="Times New Roman"/>
          <w:sz w:val="20"/>
          <w:szCs w:val="20"/>
          <w:lang w:val="en-GB"/>
        </w:rPr>
      </w:pPr>
    </w:p>
    <w:tbl>
      <w:tblPr>
        <w:tblW w:w="9776" w:type="dxa"/>
        <w:tblLook w:val="04A0" w:firstRow="1" w:lastRow="0" w:firstColumn="1" w:lastColumn="0" w:noHBand="0" w:noVBand="1"/>
      </w:tblPr>
      <w:tblGrid>
        <w:gridCol w:w="1838"/>
        <w:gridCol w:w="7938"/>
      </w:tblGrid>
      <w:tr w:rsidR="00A56858" w:rsidRPr="00BA6870" w14:paraId="5AC6E171" w14:textId="77777777" w:rsidTr="0006411B">
        <w:trPr>
          <w:trHeight w:val="348"/>
        </w:trPr>
        <w:tc>
          <w:tcPr>
            <w:tcW w:w="1838" w:type="dxa"/>
            <w:tcBorders>
              <w:top w:val="single" w:sz="4" w:space="0" w:color="FFFFFF"/>
              <w:left w:val="single" w:sz="4" w:space="0" w:color="FFFFFF"/>
              <w:bottom w:val="single" w:sz="4" w:space="0" w:color="FFFFFF"/>
              <w:right w:val="single" w:sz="4" w:space="0" w:color="FFFFFF"/>
            </w:tcBorders>
            <w:shd w:val="clear" w:color="000000" w:fill="75B91A"/>
          </w:tcPr>
          <w:p w14:paraId="26711814" w14:textId="77777777" w:rsidR="00A56858" w:rsidRPr="00A56858" w:rsidRDefault="00A56858" w:rsidP="0006411B">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Company</w:t>
            </w:r>
          </w:p>
        </w:tc>
        <w:tc>
          <w:tcPr>
            <w:tcW w:w="7938" w:type="dxa"/>
            <w:tcBorders>
              <w:top w:val="single" w:sz="4" w:space="0" w:color="FFFFFF"/>
              <w:left w:val="nil"/>
              <w:bottom w:val="single" w:sz="4" w:space="0" w:color="FFFFFF"/>
              <w:right w:val="single" w:sz="4" w:space="0" w:color="FFFFFF"/>
            </w:tcBorders>
            <w:shd w:val="clear" w:color="000000" w:fill="75B91A"/>
            <w:hideMark/>
          </w:tcPr>
          <w:p w14:paraId="5BB57142" w14:textId="77777777" w:rsidR="00A56858" w:rsidRPr="00A56858" w:rsidRDefault="00A56858" w:rsidP="0006411B">
            <w:pPr>
              <w:overflowPunct/>
              <w:autoSpaceDE/>
              <w:autoSpaceDN/>
              <w:adjustRightInd/>
              <w:spacing w:after="0"/>
              <w:jc w:val="center"/>
              <w:textAlignment w:val="auto"/>
              <w:rPr>
                <w:rFonts w:ascii="Arial" w:eastAsia="Times New Roman" w:hAnsi="Arial" w:cs="Arial"/>
                <w:b/>
                <w:bCs/>
                <w:color w:val="FFFFFF"/>
                <w:sz w:val="22"/>
                <w:szCs w:val="22"/>
                <w:lang w:val="en-US" w:eastAsia="en-US"/>
              </w:rPr>
            </w:pPr>
            <w:r w:rsidRPr="00A56858">
              <w:rPr>
                <w:rFonts w:ascii="Arial" w:eastAsia="Times New Roman" w:hAnsi="Arial" w:cs="Arial"/>
                <w:b/>
                <w:bCs/>
                <w:color w:val="FFFFFF"/>
                <w:sz w:val="22"/>
                <w:szCs w:val="22"/>
                <w:lang w:val="en-US" w:eastAsia="en-US"/>
              </w:rPr>
              <w:t>Comment</w:t>
            </w:r>
          </w:p>
        </w:tc>
      </w:tr>
      <w:tr w:rsidR="00A56858" w:rsidRPr="00BA6870" w14:paraId="64980BC3" w14:textId="77777777" w:rsidTr="0006411B">
        <w:trPr>
          <w:trHeight w:val="450"/>
        </w:trPr>
        <w:tc>
          <w:tcPr>
            <w:tcW w:w="1838" w:type="dxa"/>
            <w:tcBorders>
              <w:top w:val="nil"/>
              <w:left w:val="single" w:sz="4" w:space="0" w:color="A6A6A6"/>
              <w:bottom w:val="nil"/>
              <w:right w:val="single" w:sz="4" w:space="0" w:color="A6A6A6"/>
            </w:tcBorders>
          </w:tcPr>
          <w:p w14:paraId="1AC39E8B" w14:textId="77777777" w:rsidR="00A56858" w:rsidRPr="00A56858" w:rsidRDefault="00A56858" w:rsidP="0006411B">
            <w:pPr>
              <w:overflowPunct/>
              <w:autoSpaceDE/>
              <w:autoSpaceDN/>
              <w:adjustRightInd/>
              <w:spacing w:after="0"/>
              <w:textAlignment w:val="auto"/>
              <w:rPr>
                <w:color w:val="0563C1"/>
                <w:u w:val="single"/>
              </w:rPr>
            </w:pPr>
            <w:r w:rsidRPr="00A56858">
              <w:rPr>
                <w:rFonts w:ascii="Arial" w:eastAsia="Times New Roman" w:hAnsi="Arial" w:cs="Arial"/>
                <w:lang w:val="en-US" w:eastAsia="en-US"/>
              </w:rPr>
              <w:t>Nokia, NSB</w:t>
            </w:r>
          </w:p>
        </w:tc>
        <w:tc>
          <w:tcPr>
            <w:tcW w:w="7938" w:type="dxa"/>
            <w:tcBorders>
              <w:top w:val="nil"/>
              <w:left w:val="nil"/>
              <w:bottom w:val="nil"/>
              <w:right w:val="single" w:sz="4" w:space="0" w:color="A6A6A6"/>
            </w:tcBorders>
            <w:shd w:val="clear" w:color="auto" w:fill="auto"/>
          </w:tcPr>
          <w:p w14:paraId="5DA602F3" w14:textId="67C631A1" w:rsidR="00A56858" w:rsidRDefault="00A56858" w:rsidP="0006411B">
            <w:pPr>
              <w:overflowPunct/>
              <w:autoSpaceDE/>
              <w:autoSpaceDN/>
              <w:adjustRightInd/>
              <w:spacing w:after="0"/>
              <w:textAlignment w:val="auto"/>
              <w:rPr>
                <w:rFonts w:ascii="Arial" w:eastAsia="Times New Roman" w:hAnsi="Arial" w:cs="Arial"/>
                <w:lang w:val="en-US" w:eastAsia="en-US"/>
              </w:rPr>
            </w:pPr>
            <w:r w:rsidRPr="009A552A">
              <w:rPr>
                <w:rFonts w:ascii="Arial" w:eastAsia="Times New Roman" w:hAnsi="Arial" w:cs="Arial"/>
                <w:b/>
                <w:bCs/>
                <w:lang w:val="en-US" w:eastAsia="en-US"/>
              </w:rPr>
              <w:t>Interpretation1:</w:t>
            </w:r>
            <w:r>
              <w:rPr>
                <w:rFonts w:ascii="Arial" w:eastAsia="Times New Roman" w:hAnsi="Arial" w:cs="Arial"/>
                <w:lang w:val="en-US" w:eastAsia="en-US"/>
              </w:rPr>
              <w:t xml:space="preserve"> The previously should refer to </w:t>
            </w:r>
            <w:r w:rsidR="009A552A">
              <w:rPr>
                <w:rFonts w:ascii="Arial" w:eastAsia="Times New Roman" w:hAnsi="Arial" w:cs="Arial"/>
                <w:lang w:val="en-US" w:eastAsia="en-US"/>
              </w:rPr>
              <w:t xml:space="preserve">any CORESET so that the location of the DCI does not alter the </w:t>
            </w:r>
            <w:proofErr w:type="spellStart"/>
            <w:r w:rsidR="009A552A">
              <w:rPr>
                <w:rFonts w:ascii="Arial" w:eastAsia="Times New Roman" w:hAnsi="Arial" w:cs="Arial"/>
                <w:lang w:val="en-US" w:eastAsia="en-US"/>
              </w:rPr>
              <w:t>cDAI</w:t>
            </w:r>
            <w:proofErr w:type="spellEnd"/>
            <w:r w:rsidR="009A552A">
              <w:rPr>
                <w:rFonts w:ascii="Arial" w:eastAsia="Times New Roman" w:hAnsi="Arial" w:cs="Arial"/>
                <w:lang w:val="en-US" w:eastAsia="en-US"/>
              </w:rPr>
              <w:t>/</w:t>
            </w:r>
            <w:proofErr w:type="spellStart"/>
            <w:r w:rsidR="009A552A">
              <w:rPr>
                <w:rFonts w:ascii="Arial" w:eastAsia="Times New Roman" w:hAnsi="Arial" w:cs="Arial"/>
                <w:lang w:val="en-US" w:eastAsia="en-US"/>
              </w:rPr>
              <w:t>tDAI</w:t>
            </w:r>
            <w:proofErr w:type="spellEnd"/>
            <w:r w:rsidR="009A552A">
              <w:rPr>
                <w:rFonts w:ascii="Arial" w:eastAsia="Times New Roman" w:hAnsi="Arial" w:cs="Arial"/>
                <w:lang w:val="en-US" w:eastAsia="en-US"/>
              </w:rPr>
              <w:t xml:space="preserve"> ordering</w:t>
            </w:r>
            <w:r>
              <w:rPr>
                <w:rFonts w:ascii="Arial" w:eastAsia="Times New Roman" w:hAnsi="Arial" w:cs="Arial"/>
                <w:lang w:val="en-US" w:eastAsia="en-US"/>
              </w:rPr>
              <w:t>.</w:t>
            </w:r>
          </w:p>
          <w:p w14:paraId="44CC16EB" w14:textId="396AE3CD" w:rsidR="00A56858" w:rsidRPr="00A56858" w:rsidRDefault="00A56858" w:rsidP="0006411B">
            <w:pPr>
              <w:overflowPunct/>
              <w:autoSpaceDE/>
              <w:autoSpaceDN/>
              <w:adjustRightInd/>
              <w:textAlignment w:val="auto"/>
              <w:rPr>
                <w:rFonts w:ascii="Arial" w:eastAsia="Times New Roman" w:hAnsi="Arial" w:cs="Arial"/>
                <w:lang w:val="en-US" w:eastAsia="en-US"/>
              </w:rPr>
            </w:pPr>
            <w:r w:rsidRPr="009A552A">
              <w:rPr>
                <w:rFonts w:ascii="Arial" w:eastAsia="Times New Roman" w:hAnsi="Arial" w:cs="Arial"/>
                <w:b/>
                <w:bCs/>
                <w:lang w:val="en-US" w:eastAsia="en-US"/>
              </w:rPr>
              <w:t>Action a)</w:t>
            </w:r>
            <w:r w:rsidR="009A552A">
              <w:rPr>
                <w:rFonts w:ascii="Arial" w:eastAsia="Times New Roman" w:hAnsi="Arial" w:cs="Arial"/>
                <w:b/>
                <w:bCs/>
                <w:lang w:val="en-US" w:eastAsia="en-US"/>
              </w:rPr>
              <w:t>:</w:t>
            </w:r>
            <w:r>
              <w:rPr>
                <w:rFonts w:ascii="Arial" w:eastAsia="Times New Roman" w:hAnsi="Arial" w:cs="Arial"/>
                <w:lang w:val="en-US" w:eastAsia="en-US"/>
              </w:rPr>
              <w:t xml:space="preserve"> a CR should be drafted and agreed</w:t>
            </w:r>
            <w:r w:rsidR="009A552A">
              <w:rPr>
                <w:rFonts w:ascii="Arial" w:eastAsia="Times New Roman" w:hAnsi="Arial" w:cs="Arial"/>
                <w:lang w:val="en-US" w:eastAsia="en-US"/>
              </w:rPr>
              <w:t xml:space="preserve"> together with issue #1</w:t>
            </w:r>
          </w:p>
        </w:tc>
      </w:tr>
      <w:tr w:rsidR="00A56858" w:rsidRPr="00BA6870" w14:paraId="12D34E55" w14:textId="77777777" w:rsidTr="0006411B">
        <w:trPr>
          <w:trHeight w:val="450"/>
        </w:trPr>
        <w:tc>
          <w:tcPr>
            <w:tcW w:w="1838" w:type="dxa"/>
            <w:tcBorders>
              <w:top w:val="nil"/>
              <w:left w:val="single" w:sz="4" w:space="0" w:color="A6A6A6"/>
              <w:bottom w:val="nil"/>
              <w:right w:val="single" w:sz="4" w:space="0" w:color="A6A6A6"/>
            </w:tcBorders>
          </w:tcPr>
          <w:p w14:paraId="3808223D" w14:textId="77777777" w:rsidR="00A56858" w:rsidRPr="00A56858" w:rsidRDefault="00A56858" w:rsidP="0006411B">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2B16554E" w14:textId="77777777" w:rsidR="00A56858" w:rsidRDefault="00A56858" w:rsidP="0006411B">
            <w:pPr>
              <w:overflowPunct/>
              <w:autoSpaceDE/>
              <w:autoSpaceDN/>
              <w:adjustRightInd/>
              <w:spacing w:after="0"/>
              <w:textAlignment w:val="auto"/>
              <w:rPr>
                <w:rFonts w:ascii="Arial" w:eastAsia="Times New Roman" w:hAnsi="Arial" w:cs="Arial"/>
                <w:lang w:val="en-US" w:eastAsia="en-US"/>
              </w:rPr>
            </w:pPr>
          </w:p>
        </w:tc>
      </w:tr>
      <w:tr w:rsidR="00A56858" w:rsidRPr="00BA6870" w14:paraId="5C5BDD6A" w14:textId="77777777" w:rsidTr="0006411B">
        <w:trPr>
          <w:trHeight w:val="450"/>
        </w:trPr>
        <w:tc>
          <w:tcPr>
            <w:tcW w:w="1838" w:type="dxa"/>
            <w:tcBorders>
              <w:top w:val="nil"/>
              <w:left w:val="single" w:sz="4" w:space="0" w:color="A6A6A6"/>
              <w:bottom w:val="nil"/>
              <w:right w:val="single" w:sz="4" w:space="0" w:color="A6A6A6"/>
            </w:tcBorders>
          </w:tcPr>
          <w:p w14:paraId="4F70C0CF" w14:textId="77777777" w:rsidR="00A56858" w:rsidRPr="00A56858" w:rsidRDefault="00A56858" w:rsidP="0006411B">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33A1AC4D" w14:textId="77777777" w:rsidR="00A56858" w:rsidRDefault="00A56858" w:rsidP="0006411B">
            <w:pPr>
              <w:overflowPunct/>
              <w:autoSpaceDE/>
              <w:autoSpaceDN/>
              <w:adjustRightInd/>
              <w:spacing w:after="0"/>
              <w:textAlignment w:val="auto"/>
              <w:rPr>
                <w:rFonts w:ascii="Arial" w:eastAsia="Times New Roman" w:hAnsi="Arial" w:cs="Arial"/>
                <w:lang w:val="en-US" w:eastAsia="en-US"/>
              </w:rPr>
            </w:pPr>
          </w:p>
        </w:tc>
      </w:tr>
      <w:tr w:rsidR="00BA383A" w:rsidRPr="00BA6870" w14:paraId="735D5BBE" w14:textId="77777777" w:rsidTr="0006411B">
        <w:trPr>
          <w:trHeight w:val="450"/>
        </w:trPr>
        <w:tc>
          <w:tcPr>
            <w:tcW w:w="1838" w:type="dxa"/>
            <w:tcBorders>
              <w:top w:val="nil"/>
              <w:left w:val="single" w:sz="4" w:space="0" w:color="A6A6A6"/>
              <w:bottom w:val="nil"/>
              <w:right w:val="single" w:sz="4" w:space="0" w:color="A6A6A6"/>
            </w:tcBorders>
          </w:tcPr>
          <w:p w14:paraId="5E851020" w14:textId="77777777" w:rsidR="00BA383A" w:rsidRPr="00A56858" w:rsidRDefault="00BA383A" w:rsidP="0006411B">
            <w:pPr>
              <w:overflowPunct/>
              <w:autoSpaceDE/>
              <w:autoSpaceDN/>
              <w:adjustRightInd/>
              <w:spacing w:after="0"/>
              <w:textAlignment w:val="auto"/>
              <w:rPr>
                <w:rFonts w:ascii="Arial" w:eastAsia="Times New Roman" w:hAnsi="Arial" w:cs="Arial"/>
                <w:lang w:val="en-US" w:eastAsia="en-US"/>
              </w:rPr>
            </w:pPr>
          </w:p>
        </w:tc>
        <w:tc>
          <w:tcPr>
            <w:tcW w:w="7938" w:type="dxa"/>
            <w:tcBorders>
              <w:top w:val="nil"/>
              <w:left w:val="nil"/>
              <w:bottom w:val="nil"/>
              <w:right w:val="single" w:sz="4" w:space="0" w:color="A6A6A6"/>
            </w:tcBorders>
            <w:shd w:val="clear" w:color="auto" w:fill="auto"/>
          </w:tcPr>
          <w:p w14:paraId="31C87C82" w14:textId="77777777" w:rsidR="00BA383A" w:rsidRDefault="00BA383A" w:rsidP="0006411B">
            <w:pPr>
              <w:overflowPunct/>
              <w:autoSpaceDE/>
              <w:autoSpaceDN/>
              <w:adjustRightInd/>
              <w:spacing w:after="0"/>
              <w:textAlignment w:val="auto"/>
              <w:rPr>
                <w:rFonts w:ascii="Arial" w:eastAsia="Times New Roman" w:hAnsi="Arial" w:cs="Arial"/>
                <w:lang w:val="en-US" w:eastAsia="en-US"/>
              </w:rPr>
            </w:pPr>
          </w:p>
        </w:tc>
      </w:tr>
    </w:tbl>
    <w:p w14:paraId="4B4A045F" w14:textId="77777777" w:rsidR="00A56858" w:rsidRDefault="00A56858" w:rsidP="00A56858">
      <w:pPr>
        <w:rPr>
          <w:b/>
          <w:bCs/>
        </w:rPr>
      </w:pPr>
    </w:p>
    <w:p w14:paraId="5D0B318C" w14:textId="77777777" w:rsidR="00A56858" w:rsidRDefault="00A56858" w:rsidP="00C413D0">
      <w:pPr>
        <w:rPr>
          <w:b/>
          <w:bCs/>
        </w:rPr>
      </w:pPr>
    </w:p>
    <w:p w14:paraId="639E1B53" w14:textId="4B0988EC" w:rsidR="006A58F1" w:rsidRDefault="00BA6870" w:rsidP="00BA6870">
      <w:pPr>
        <w:pStyle w:val="Heading1"/>
        <w:rPr>
          <w:rStyle w:val="Heading1Char"/>
        </w:rPr>
      </w:pPr>
      <w:bookmarkStart w:id="6" w:name="_Toc62031204"/>
      <w:r>
        <w:rPr>
          <w:rStyle w:val="Heading1Char"/>
        </w:rPr>
        <w:t>3</w:t>
      </w:r>
      <w:r>
        <w:rPr>
          <w:rStyle w:val="Heading1Char"/>
        </w:rPr>
        <w:tab/>
      </w:r>
      <w:r w:rsidR="00C413D0">
        <w:rPr>
          <w:rStyle w:val="Heading1Char"/>
        </w:rPr>
        <w:t>Conclusions</w:t>
      </w:r>
      <w:bookmarkEnd w:id="6"/>
    </w:p>
    <w:p w14:paraId="47D69BC0" w14:textId="5AA5E2BB" w:rsidR="00E512B7" w:rsidRPr="00E512B7" w:rsidRDefault="00E512B7" w:rsidP="00E512B7">
      <w:r>
        <w:t>To be written</w:t>
      </w:r>
    </w:p>
    <w:sectPr w:rsidR="00E512B7" w:rsidRPr="00E512B7"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91AB4" w14:textId="77777777" w:rsidR="002D0D07" w:rsidRDefault="002D0D07">
      <w:r>
        <w:separator/>
      </w:r>
    </w:p>
  </w:endnote>
  <w:endnote w:type="continuationSeparator" w:id="0">
    <w:p w14:paraId="6F0694BE" w14:textId="77777777" w:rsidR="002D0D07" w:rsidRDefault="002D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2F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F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FBA5D" w14:textId="77777777" w:rsidR="002D0D07" w:rsidRDefault="002D0D07">
      <w:r>
        <w:separator/>
      </w:r>
    </w:p>
  </w:footnote>
  <w:footnote w:type="continuationSeparator" w:id="0">
    <w:p w14:paraId="2D694AA6" w14:textId="77777777" w:rsidR="002D0D07" w:rsidRDefault="002D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836526"/>
    <w:multiLevelType w:val="hybridMultilevel"/>
    <w:tmpl w:val="7ED2A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227A4"/>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F2236"/>
    <w:multiLevelType w:val="hybridMultilevel"/>
    <w:tmpl w:val="D65ABAA2"/>
    <w:lvl w:ilvl="0" w:tplc="E5325F7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BD76DD"/>
    <w:multiLevelType w:val="hybridMultilevel"/>
    <w:tmpl w:val="052CC22C"/>
    <w:lvl w:ilvl="0" w:tplc="CCF0BEB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1E19EA"/>
    <w:multiLevelType w:val="hybridMultilevel"/>
    <w:tmpl w:val="4C3AD59E"/>
    <w:lvl w:ilvl="0" w:tplc="311C70EA">
      <w:start w:val="2"/>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9539B8"/>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19"/>
  </w:num>
  <w:num w:numId="7">
    <w:abstractNumId w:val="6"/>
  </w:num>
  <w:num w:numId="8">
    <w:abstractNumId w:val="7"/>
  </w:num>
  <w:num w:numId="9">
    <w:abstractNumId w:val="3"/>
  </w:num>
  <w:num w:numId="10">
    <w:abstractNumId w:val="28"/>
  </w:num>
  <w:num w:numId="11">
    <w:abstractNumId w:val="10"/>
  </w:num>
  <w:num w:numId="12">
    <w:abstractNumId w:val="26"/>
  </w:num>
  <w:num w:numId="13">
    <w:abstractNumId w:val="11"/>
    <w:lvlOverride w:ilvl="0">
      <w:startOverride w:val="1"/>
    </w:lvlOverride>
  </w:num>
  <w:num w:numId="14">
    <w:abstractNumId w:val="24"/>
  </w:num>
  <w:num w:numId="15">
    <w:abstractNumId w:val="25"/>
  </w:num>
  <w:num w:numId="16">
    <w:abstractNumId w:val="4"/>
  </w:num>
  <w:num w:numId="17">
    <w:abstractNumId w:val="29"/>
  </w:num>
  <w:num w:numId="18">
    <w:abstractNumId w:val="9"/>
  </w:num>
  <w:num w:numId="19">
    <w:abstractNumId w:val="14"/>
  </w:num>
  <w:num w:numId="20">
    <w:abstractNumId w:val="5"/>
  </w:num>
  <w:num w:numId="21">
    <w:abstractNumId w:val="22"/>
  </w:num>
  <w:num w:numId="22">
    <w:abstractNumId w:val="23"/>
  </w:num>
  <w:num w:numId="23">
    <w:abstractNumId w:val="20"/>
  </w:num>
  <w:num w:numId="24">
    <w:abstractNumId w:val="30"/>
  </w:num>
  <w:num w:numId="25">
    <w:abstractNumId w:val="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
  </w:num>
  <w:num w:numId="30">
    <w:abstractNumId w:val="2"/>
  </w:num>
  <w:num w:numId="31">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F06D6"/>
    <w:rsid w:val="000F0EB1"/>
    <w:rsid w:val="000F1106"/>
    <w:rsid w:val="000F3BE9"/>
    <w:rsid w:val="000F3F6C"/>
    <w:rsid w:val="000F6DF3"/>
    <w:rsid w:val="000F796A"/>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41E6"/>
    <w:rsid w:val="002D071A"/>
    <w:rsid w:val="002D0D07"/>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6553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47AE"/>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52A"/>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56858"/>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38F4"/>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383A"/>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12B7"/>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E51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78620244">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145043">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1134.zip"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542071-4666-4F41-923F-45A784FD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3</Pages>
  <Words>601</Words>
  <Characters>3430</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4023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2021-01-25T09:20:00Z</dcterms:created>
  <dcterms:modified xsi:type="dcterms:W3CDTF">2021-01-25T09:21:00Z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